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FCC" w:rsidRDefault="00FE6356" w:rsidP="00B44B25">
      <w:pPr>
        <w:jc w:val="center"/>
        <w:rPr>
          <w:b/>
          <w:sz w:val="32"/>
          <w:szCs w:val="32"/>
        </w:rPr>
      </w:pPr>
      <w:r w:rsidRPr="00B44B25">
        <w:rPr>
          <w:b/>
          <w:sz w:val="32"/>
          <w:szCs w:val="32"/>
        </w:rPr>
        <w:t>FOIA Exemption for Single Family Residential Dwellings</w:t>
      </w:r>
    </w:p>
    <w:p w:rsidR="007A33D9" w:rsidRPr="00B44B25" w:rsidRDefault="007A33D9" w:rsidP="00B44B25">
      <w:pPr>
        <w:jc w:val="center"/>
        <w:rPr>
          <w:b/>
          <w:sz w:val="32"/>
          <w:szCs w:val="32"/>
        </w:rPr>
      </w:pPr>
      <w:r>
        <w:rPr>
          <w:b/>
          <w:sz w:val="32"/>
          <w:szCs w:val="32"/>
        </w:rPr>
        <w:t>Effective July 1, 2017</w:t>
      </w:r>
    </w:p>
    <w:p w:rsidR="00FE6356" w:rsidRPr="00FE6356" w:rsidRDefault="00FE6356" w:rsidP="00FE6356">
      <w:pPr>
        <w:spacing w:before="100" w:beforeAutospacing="1" w:after="100" w:afterAutospacing="1" w:line="288" w:lineRule="atLeast"/>
        <w:outlineLvl w:val="1"/>
        <w:rPr>
          <w:rFonts w:ascii="Helvetica" w:eastAsia="Times New Roman" w:hAnsi="Helvetica" w:cs="Times New Roman"/>
          <w:color w:val="26AE90"/>
          <w:sz w:val="34"/>
          <w:szCs w:val="34"/>
        </w:rPr>
      </w:pPr>
      <w:r w:rsidRPr="00FE6356">
        <w:rPr>
          <w:rFonts w:ascii="Helvetica" w:eastAsia="Times New Roman" w:hAnsi="Helvetica" w:cs="Times New Roman"/>
          <w:color w:val="26AE90"/>
          <w:sz w:val="34"/>
          <w:szCs w:val="34"/>
        </w:rPr>
        <w:t>Code of Virginia</w:t>
      </w:r>
    </w:p>
    <w:p w:rsidR="00FE6356" w:rsidRPr="00FE6356" w:rsidRDefault="00FE6356" w:rsidP="00FE6356">
      <w:pPr>
        <w:spacing w:after="0" w:line="348" w:lineRule="atLeast"/>
        <w:rPr>
          <w:rFonts w:ascii="Times New Roman" w:eastAsia="Times New Roman" w:hAnsi="Times New Roman" w:cs="Times New Roman"/>
          <w:vanish/>
          <w:color w:val="444444"/>
          <w:sz w:val="24"/>
          <w:szCs w:val="24"/>
        </w:rPr>
      </w:pPr>
      <w:r w:rsidRPr="00FE6356">
        <w:rPr>
          <w:rFonts w:ascii="Times New Roman" w:eastAsia="Times New Roman" w:hAnsi="Times New Roman" w:cs="Times New Roman"/>
          <w:vanish/>
          <w:color w:val="444444"/>
          <w:sz w:val="24"/>
          <w:szCs w:val="24"/>
        </w:rPr>
        <w:t>Code of Virginia</w:t>
      </w:r>
      <w:r w:rsidRPr="00FE6356">
        <w:rPr>
          <w:rFonts w:ascii="Times New Roman" w:eastAsia="Times New Roman" w:hAnsi="Times New Roman" w:cs="Times New Roman"/>
          <w:vanish/>
          <w:color w:val="444444"/>
          <w:sz w:val="24"/>
          <w:szCs w:val="24"/>
        </w:rPr>
        <w:br/>
        <w:t>Title 36. Housing</w:t>
      </w:r>
      <w:r w:rsidRPr="00FE6356">
        <w:rPr>
          <w:rFonts w:ascii="Times New Roman" w:eastAsia="Times New Roman" w:hAnsi="Times New Roman" w:cs="Times New Roman"/>
          <w:vanish/>
          <w:color w:val="444444"/>
          <w:sz w:val="24"/>
          <w:szCs w:val="24"/>
        </w:rPr>
        <w:br/>
        <w:t>Chapter 6. Uniform Statewide Building Code</w:t>
      </w:r>
    </w:p>
    <w:p w:rsidR="00FE6356" w:rsidRPr="00FE6356" w:rsidRDefault="00FE6356" w:rsidP="00FE6356">
      <w:pPr>
        <w:spacing w:after="0" w:line="348" w:lineRule="atLeast"/>
        <w:rPr>
          <w:rFonts w:ascii="Times New Roman" w:eastAsia="Times New Roman" w:hAnsi="Times New Roman" w:cs="Times New Roman"/>
          <w:vanish/>
          <w:color w:val="444444"/>
          <w:sz w:val="24"/>
          <w:szCs w:val="24"/>
        </w:rPr>
      </w:pPr>
      <w:r w:rsidRPr="00FE6356">
        <w:rPr>
          <w:rFonts w:ascii="Times New Roman" w:eastAsia="Times New Roman" w:hAnsi="Times New Roman" w:cs="Times New Roman"/>
          <w:vanish/>
          <w:color w:val="444444"/>
          <w:sz w:val="24"/>
          <w:szCs w:val="24"/>
        </w:rPr>
        <w:t>7/28/2017</w:t>
      </w:r>
    </w:p>
    <w:p w:rsidR="00FE6356" w:rsidRPr="00FE6356" w:rsidRDefault="00FE6356" w:rsidP="00FE6356">
      <w:pPr>
        <w:spacing w:before="100" w:beforeAutospacing="1" w:after="100" w:afterAutospacing="1" w:line="288" w:lineRule="atLeast"/>
        <w:outlineLvl w:val="1"/>
        <w:rPr>
          <w:rFonts w:ascii="Helvetica" w:eastAsia="Times New Roman" w:hAnsi="Helvetica" w:cs="Times New Roman"/>
          <w:color w:val="444444"/>
          <w:sz w:val="31"/>
          <w:szCs w:val="31"/>
        </w:rPr>
      </w:pPr>
      <w:r w:rsidRPr="00FE6356">
        <w:rPr>
          <w:rFonts w:ascii="Helvetica" w:eastAsia="Times New Roman" w:hAnsi="Helvetica" w:cs="Times New Roman"/>
          <w:color w:val="444444"/>
          <w:sz w:val="31"/>
          <w:szCs w:val="31"/>
        </w:rPr>
        <w:t>§ 36-105.3. Security of certain records.</w:t>
      </w:r>
    </w:p>
    <w:p w:rsidR="00FE6356" w:rsidRPr="00FE6356" w:rsidRDefault="00FE6356" w:rsidP="00FE6356">
      <w:pPr>
        <w:spacing w:after="192" w:line="348" w:lineRule="atLeast"/>
        <w:rPr>
          <w:rFonts w:ascii="Times New Roman" w:eastAsia="Times New Roman" w:hAnsi="Times New Roman" w:cs="Times New Roman"/>
          <w:color w:val="444444"/>
          <w:sz w:val="24"/>
          <w:szCs w:val="24"/>
        </w:rPr>
      </w:pPr>
      <w:r w:rsidRPr="00FE6356">
        <w:rPr>
          <w:rFonts w:ascii="Times New Roman" w:eastAsia="Times New Roman" w:hAnsi="Times New Roman" w:cs="Times New Roman"/>
          <w:color w:val="444444"/>
          <w:sz w:val="24"/>
          <w:szCs w:val="24"/>
        </w:rPr>
        <w:t xml:space="preserve">Building Code officials shall institute procedures to ensure the safe storage and secure handling by local officials having access to or in the possession of engineering and construction drawings and plans containing critical structural components, security equipment and systems, ventilation systems, fire protection equipment, mandatory building emergency equipment or systems, elevators, electrical systems, telecommunications equipment and systems, and other utility equipment and systems submitted for the purpose of complying with the Uniform Statewide Building Code (§ </w:t>
      </w:r>
      <w:hyperlink r:id="rId7" w:history="1">
        <w:r w:rsidRPr="00FE6356">
          <w:rPr>
            <w:rFonts w:ascii="Times New Roman" w:eastAsia="Times New Roman" w:hAnsi="Times New Roman" w:cs="Times New Roman"/>
            <w:color w:val="0000FF"/>
            <w:sz w:val="24"/>
            <w:szCs w:val="24"/>
            <w:u w:val="single"/>
          </w:rPr>
          <w:t>36-97</w:t>
        </w:r>
      </w:hyperlink>
      <w:r w:rsidRPr="00FE6356">
        <w:rPr>
          <w:rFonts w:ascii="Times New Roman" w:eastAsia="Times New Roman" w:hAnsi="Times New Roman" w:cs="Times New Roman"/>
          <w:color w:val="444444"/>
          <w:sz w:val="24"/>
          <w:szCs w:val="24"/>
        </w:rPr>
        <w:t xml:space="preserve"> et seq.) or the Statewide Fire Prevention Code (§ </w:t>
      </w:r>
      <w:hyperlink r:id="rId8" w:history="1">
        <w:r w:rsidRPr="00FE6356">
          <w:rPr>
            <w:rFonts w:ascii="Times New Roman" w:eastAsia="Times New Roman" w:hAnsi="Times New Roman" w:cs="Times New Roman"/>
            <w:color w:val="0000FF"/>
            <w:sz w:val="24"/>
            <w:szCs w:val="24"/>
            <w:u w:val="single"/>
          </w:rPr>
          <w:t>27-94</w:t>
        </w:r>
      </w:hyperlink>
      <w:r w:rsidRPr="00FE6356">
        <w:rPr>
          <w:rFonts w:ascii="Times New Roman" w:eastAsia="Times New Roman" w:hAnsi="Times New Roman" w:cs="Times New Roman"/>
          <w:color w:val="444444"/>
          <w:sz w:val="24"/>
          <w:szCs w:val="24"/>
        </w:rPr>
        <w:t xml:space="preserve"> et seq.).</w:t>
      </w:r>
    </w:p>
    <w:p w:rsidR="00FE6356" w:rsidRPr="00FE6356" w:rsidRDefault="00FE6356" w:rsidP="00FE6356">
      <w:pPr>
        <w:spacing w:after="192" w:line="348" w:lineRule="atLeast"/>
        <w:rPr>
          <w:rFonts w:ascii="Times New Roman" w:eastAsia="Times New Roman" w:hAnsi="Times New Roman" w:cs="Times New Roman"/>
          <w:b/>
          <w:color w:val="444444"/>
          <w:sz w:val="24"/>
          <w:szCs w:val="24"/>
        </w:rPr>
      </w:pPr>
      <w:r w:rsidRPr="00FE6356">
        <w:rPr>
          <w:rFonts w:ascii="Times New Roman" w:eastAsia="Times New Roman" w:hAnsi="Times New Roman" w:cs="Times New Roman"/>
          <w:color w:val="444444"/>
          <w:sz w:val="24"/>
          <w:szCs w:val="24"/>
          <w:highlight w:val="yellow"/>
        </w:rPr>
        <w:t xml:space="preserve">Further, information contained in engineering and </w:t>
      </w:r>
      <w:r w:rsidRPr="00FE6356">
        <w:rPr>
          <w:rFonts w:ascii="Times New Roman" w:eastAsia="Times New Roman" w:hAnsi="Times New Roman" w:cs="Times New Roman"/>
          <w:b/>
          <w:color w:val="444444"/>
          <w:sz w:val="24"/>
          <w:szCs w:val="24"/>
          <w:highlight w:val="yellow"/>
        </w:rPr>
        <w:t>construction drawings and plans for any single-family residential dwelling</w:t>
      </w:r>
      <w:r w:rsidRPr="00FE6356">
        <w:rPr>
          <w:rFonts w:ascii="Times New Roman" w:eastAsia="Times New Roman" w:hAnsi="Times New Roman" w:cs="Times New Roman"/>
          <w:color w:val="444444"/>
          <w:sz w:val="24"/>
          <w:szCs w:val="24"/>
          <w:highlight w:val="yellow"/>
        </w:rPr>
        <w:t xml:space="preserve"> submitted for the purpose of complying with the Uniform Statewide Building Code (§ </w:t>
      </w:r>
      <w:hyperlink r:id="rId9" w:history="1">
        <w:r w:rsidRPr="00FE6356">
          <w:rPr>
            <w:rFonts w:ascii="Times New Roman" w:eastAsia="Times New Roman" w:hAnsi="Times New Roman" w:cs="Times New Roman"/>
            <w:color w:val="0000FF"/>
            <w:sz w:val="24"/>
            <w:szCs w:val="24"/>
            <w:highlight w:val="yellow"/>
            <w:u w:val="single"/>
          </w:rPr>
          <w:t>36-97</w:t>
        </w:r>
      </w:hyperlink>
      <w:r w:rsidRPr="00FE6356">
        <w:rPr>
          <w:rFonts w:ascii="Times New Roman" w:eastAsia="Times New Roman" w:hAnsi="Times New Roman" w:cs="Times New Roman"/>
          <w:color w:val="444444"/>
          <w:sz w:val="24"/>
          <w:szCs w:val="24"/>
          <w:highlight w:val="yellow"/>
        </w:rPr>
        <w:t xml:space="preserve"> et seq.) or the Statewide Fire Prevention Code (§ </w:t>
      </w:r>
      <w:hyperlink r:id="rId10" w:history="1">
        <w:r w:rsidRPr="00FE6356">
          <w:rPr>
            <w:rFonts w:ascii="Times New Roman" w:eastAsia="Times New Roman" w:hAnsi="Times New Roman" w:cs="Times New Roman"/>
            <w:color w:val="0000FF"/>
            <w:sz w:val="24"/>
            <w:szCs w:val="24"/>
            <w:highlight w:val="yellow"/>
            <w:u w:val="single"/>
          </w:rPr>
          <w:t>27-94</w:t>
        </w:r>
      </w:hyperlink>
      <w:r w:rsidRPr="00FE6356">
        <w:rPr>
          <w:rFonts w:ascii="Times New Roman" w:eastAsia="Times New Roman" w:hAnsi="Times New Roman" w:cs="Times New Roman"/>
          <w:color w:val="444444"/>
          <w:sz w:val="24"/>
          <w:szCs w:val="24"/>
          <w:highlight w:val="yellow"/>
        </w:rPr>
        <w:t xml:space="preserve"> et seq.) </w:t>
      </w:r>
      <w:r w:rsidRPr="00FE6356">
        <w:rPr>
          <w:rFonts w:ascii="Times New Roman" w:eastAsia="Times New Roman" w:hAnsi="Times New Roman" w:cs="Times New Roman"/>
          <w:b/>
          <w:color w:val="444444"/>
          <w:sz w:val="24"/>
          <w:szCs w:val="24"/>
          <w:highlight w:val="yellow"/>
        </w:rPr>
        <w:t xml:space="preserve">shall be confidential and shall not be subject to disclosure under the Virginia Freedom of Information Act (§ </w:t>
      </w:r>
      <w:hyperlink r:id="rId11" w:history="1">
        <w:r w:rsidRPr="00FE6356">
          <w:rPr>
            <w:rFonts w:ascii="Times New Roman" w:eastAsia="Times New Roman" w:hAnsi="Times New Roman" w:cs="Times New Roman"/>
            <w:b/>
            <w:color w:val="0000FF"/>
            <w:sz w:val="24"/>
            <w:szCs w:val="24"/>
            <w:highlight w:val="yellow"/>
            <w:u w:val="single"/>
          </w:rPr>
          <w:t>2.2-3700</w:t>
        </w:r>
      </w:hyperlink>
      <w:r w:rsidRPr="00FE6356">
        <w:rPr>
          <w:rFonts w:ascii="Times New Roman" w:eastAsia="Times New Roman" w:hAnsi="Times New Roman" w:cs="Times New Roman"/>
          <w:b/>
          <w:color w:val="444444"/>
          <w:sz w:val="24"/>
          <w:szCs w:val="24"/>
          <w:highlight w:val="yellow"/>
        </w:rPr>
        <w:t xml:space="preserve"> et seq.), except to the applicant or the owner of the property upon the applicant's or owner's request.</w:t>
      </w:r>
    </w:p>
    <w:sectPr w:rsidR="00FE6356" w:rsidRPr="00FE635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3FA" w:rsidRDefault="001423FA" w:rsidP="00B44B25">
      <w:pPr>
        <w:spacing w:after="0" w:line="240" w:lineRule="auto"/>
      </w:pPr>
      <w:r>
        <w:separator/>
      </w:r>
    </w:p>
  </w:endnote>
  <w:endnote w:type="continuationSeparator" w:id="0">
    <w:p w:rsidR="001423FA" w:rsidRDefault="001423FA" w:rsidP="00B4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9"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25" w:rsidRDefault="00B44B25">
    <w:pPr>
      <w:pStyle w:val="Footer"/>
    </w:pPr>
    <w:r>
      <w:t>07/28/2017</w:t>
    </w:r>
  </w:p>
  <w:p w:rsidR="00B44B25" w:rsidRDefault="00B4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3FA" w:rsidRDefault="001423FA" w:rsidP="00B44B25">
      <w:pPr>
        <w:spacing w:after="0" w:line="240" w:lineRule="auto"/>
      </w:pPr>
      <w:r>
        <w:separator/>
      </w:r>
    </w:p>
  </w:footnote>
  <w:footnote w:type="continuationSeparator" w:id="0">
    <w:p w:rsidR="001423FA" w:rsidRDefault="001423FA" w:rsidP="00B44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70BD3"/>
    <w:multiLevelType w:val="multilevel"/>
    <w:tmpl w:val="9338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85A64"/>
    <w:multiLevelType w:val="multilevel"/>
    <w:tmpl w:val="FAB8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56"/>
    <w:rsid w:val="00014465"/>
    <w:rsid w:val="001423FA"/>
    <w:rsid w:val="001C3FCC"/>
    <w:rsid w:val="004B4CBB"/>
    <w:rsid w:val="007A33D9"/>
    <w:rsid w:val="00814986"/>
    <w:rsid w:val="00B44B25"/>
    <w:rsid w:val="00FE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3A001-084D-41FB-ACC2-A00FD2F3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FE6356"/>
    <w:pPr>
      <w:spacing w:before="100" w:beforeAutospacing="1" w:after="100" w:afterAutospacing="1" w:line="288" w:lineRule="atLeast"/>
      <w:outlineLvl w:val="1"/>
    </w:pPr>
    <w:rPr>
      <w:rFonts w:ascii="Helvetica" w:eastAsia="Times New Roman" w:hAnsi="Helvetica" w:cs="Times New Roman"/>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356"/>
    <w:rPr>
      <w:rFonts w:ascii="Helvetica" w:eastAsia="Times New Roman" w:hAnsi="Helvetica" w:cs="Times New Roman"/>
      <w:sz w:val="31"/>
      <w:szCs w:val="31"/>
    </w:rPr>
  </w:style>
  <w:style w:type="character" w:styleId="Hyperlink">
    <w:name w:val="Hyperlink"/>
    <w:basedOn w:val="DefaultParagraphFont"/>
    <w:uiPriority w:val="99"/>
    <w:semiHidden/>
    <w:unhideWhenUsed/>
    <w:rsid w:val="00FE6356"/>
    <w:rPr>
      <w:color w:val="0000FF"/>
      <w:u w:val="single"/>
    </w:rPr>
  </w:style>
  <w:style w:type="character" w:styleId="Strong">
    <w:name w:val="Strong"/>
    <w:basedOn w:val="DefaultParagraphFont"/>
    <w:uiPriority w:val="22"/>
    <w:qFormat/>
    <w:rsid w:val="00FE6356"/>
    <w:rPr>
      <w:b/>
      <w:bCs/>
    </w:rPr>
  </w:style>
  <w:style w:type="paragraph" w:styleId="NormalWeb">
    <w:name w:val="Normal (Web)"/>
    <w:basedOn w:val="Normal"/>
    <w:uiPriority w:val="99"/>
    <w:semiHidden/>
    <w:unhideWhenUsed/>
    <w:rsid w:val="00FE6356"/>
    <w:pPr>
      <w:spacing w:after="192" w:line="240" w:lineRule="auto"/>
    </w:pPr>
    <w:rPr>
      <w:rFonts w:ascii="Times New Roman" w:eastAsia="Times New Roman" w:hAnsi="Times New Roman" w:cs="Times New Roman"/>
      <w:sz w:val="24"/>
      <w:szCs w:val="24"/>
    </w:rPr>
  </w:style>
  <w:style w:type="paragraph" w:customStyle="1" w:styleId="sidenote">
    <w:name w:val="sidenote"/>
    <w:basedOn w:val="Normal"/>
    <w:rsid w:val="00FE6356"/>
    <w:pPr>
      <w:spacing w:after="192" w:line="360" w:lineRule="atLeast"/>
    </w:pPr>
    <w:rPr>
      <w:rFonts w:ascii="Times New Roman" w:eastAsia="Times New Roman" w:hAnsi="Times New Roman" w:cs="Times New Roman"/>
      <w:sz w:val="19"/>
      <w:szCs w:val="19"/>
    </w:rPr>
  </w:style>
  <w:style w:type="character" w:customStyle="1" w:styleId="breadcrumb-inactive">
    <w:name w:val="breadcrumb-inactive"/>
    <w:basedOn w:val="DefaultParagraphFont"/>
    <w:rsid w:val="00FE6356"/>
  </w:style>
  <w:style w:type="character" w:customStyle="1" w:styleId="printpdf">
    <w:name w:val="printpdf"/>
    <w:basedOn w:val="DefaultParagraphFont"/>
    <w:rsid w:val="00FE6356"/>
  </w:style>
  <w:style w:type="paragraph" w:styleId="Header">
    <w:name w:val="header"/>
    <w:basedOn w:val="Normal"/>
    <w:link w:val="HeaderChar"/>
    <w:uiPriority w:val="99"/>
    <w:unhideWhenUsed/>
    <w:rsid w:val="00B44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B25"/>
  </w:style>
  <w:style w:type="paragraph" w:styleId="Footer">
    <w:name w:val="footer"/>
    <w:basedOn w:val="Normal"/>
    <w:link w:val="FooterChar"/>
    <w:uiPriority w:val="99"/>
    <w:unhideWhenUsed/>
    <w:rsid w:val="00B44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80784">
      <w:bodyDiv w:val="1"/>
      <w:marLeft w:val="0"/>
      <w:marRight w:val="0"/>
      <w:marTop w:val="0"/>
      <w:marBottom w:val="0"/>
      <w:divBdr>
        <w:top w:val="none" w:sz="0" w:space="0" w:color="auto"/>
        <w:left w:val="none" w:sz="0" w:space="0" w:color="auto"/>
        <w:bottom w:val="none" w:sz="0" w:space="0" w:color="auto"/>
        <w:right w:val="none" w:sz="0" w:space="0" w:color="auto"/>
      </w:divBdr>
      <w:divsChild>
        <w:div w:id="156700071">
          <w:marLeft w:val="0"/>
          <w:marRight w:val="0"/>
          <w:marTop w:val="0"/>
          <w:marBottom w:val="0"/>
          <w:divBdr>
            <w:top w:val="none" w:sz="0" w:space="0" w:color="auto"/>
            <w:left w:val="none" w:sz="0" w:space="0" w:color="auto"/>
            <w:bottom w:val="none" w:sz="0" w:space="0" w:color="auto"/>
            <w:right w:val="none" w:sz="0" w:space="0" w:color="auto"/>
          </w:divBdr>
          <w:divsChild>
            <w:div w:id="1535582784">
              <w:marLeft w:val="0"/>
              <w:marRight w:val="0"/>
              <w:marTop w:val="0"/>
              <w:marBottom w:val="120"/>
              <w:divBdr>
                <w:top w:val="none" w:sz="0" w:space="0" w:color="auto"/>
                <w:left w:val="none" w:sz="0" w:space="0" w:color="auto"/>
                <w:bottom w:val="none" w:sz="0" w:space="0" w:color="auto"/>
                <w:right w:val="none" w:sz="0" w:space="0" w:color="auto"/>
              </w:divBdr>
              <w:divsChild>
                <w:div w:id="695354198">
                  <w:marLeft w:val="0"/>
                  <w:marRight w:val="0"/>
                  <w:marTop w:val="0"/>
                  <w:marBottom w:val="0"/>
                  <w:divBdr>
                    <w:top w:val="none" w:sz="0" w:space="0" w:color="auto"/>
                    <w:left w:val="none" w:sz="0" w:space="0" w:color="auto"/>
                    <w:bottom w:val="none" w:sz="0" w:space="0" w:color="auto"/>
                    <w:right w:val="none" w:sz="0" w:space="0" w:color="auto"/>
                  </w:divBdr>
                  <w:divsChild>
                    <w:div w:id="2016371870">
                      <w:marLeft w:val="0"/>
                      <w:marRight w:val="0"/>
                      <w:marTop w:val="0"/>
                      <w:marBottom w:val="0"/>
                      <w:divBdr>
                        <w:top w:val="none" w:sz="0" w:space="0" w:color="auto"/>
                        <w:left w:val="none" w:sz="0" w:space="0" w:color="auto"/>
                        <w:bottom w:val="none" w:sz="0" w:space="0" w:color="auto"/>
                        <w:right w:val="none" w:sz="0" w:space="0" w:color="auto"/>
                      </w:divBdr>
                      <w:divsChild>
                        <w:div w:id="1271351799">
                          <w:marLeft w:val="0"/>
                          <w:marRight w:val="0"/>
                          <w:marTop w:val="0"/>
                          <w:marBottom w:val="0"/>
                          <w:divBdr>
                            <w:top w:val="none" w:sz="0" w:space="0" w:color="auto"/>
                            <w:left w:val="none" w:sz="0" w:space="0" w:color="auto"/>
                            <w:bottom w:val="none" w:sz="0" w:space="0" w:color="auto"/>
                            <w:right w:val="none" w:sz="0" w:space="0" w:color="auto"/>
                          </w:divBdr>
                        </w:div>
                        <w:div w:id="3736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vacode/27-9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lis.virginia.gov/vacode/36-9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lis.virginia.gov/vacode/2.2-3700/" TargetMode="External"/><Relationship Id="rId5" Type="http://schemas.openxmlformats.org/officeDocument/2006/relationships/footnotes" Target="footnotes.xml"/><Relationship Id="rId10" Type="http://schemas.openxmlformats.org/officeDocument/2006/relationships/hyperlink" Target="http://law.lis.virginia.gov/vacode/27-94/" TargetMode="External"/><Relationship Id="rId4" Type="http://schemas.openxmlformats.org/officeDocument/2006/relationships/webSettings" Target="webSettings.xml"/><Relationship Id="rId9" Type="http://schemas.openxmlformats.org/officeDocument/2006/relationships/hyperlink" Target="http://law.lis.virginia.gov/vacode/36-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Hancock</dc:creator>
  <cp:keywords/>
  <dc:description/>
  <cp:lastModifiedBy>Gwen Hancock</cp:lastModifiedBy>
  <cp:revision>2</cp:revision>
  <dcterms:created xsi:type="dcterms:W3CDTF">2017-07-28T18:22:00Z</dcterms:created>
  <dcterms:modified xsi:type="dcterms:W3CDTF">2017-07-28T18:39:00Z</dcterms:modified>
</cp:coreProperties>
</file>